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styles.xml" ContentType="application/vnd.openxmlformats-officedocument.wordprocessingml.styl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officeDocument" Target="/word/document.xml" Id="R0a18f320eed047da" /></Relationships>
</file>

<file path=word/document.xml><?xml version="1.0" encoding="utf-8"?>
<w:document xmlns:w="http://schemas.openxmlformats.org/wordprocessingml/2006/main">
  <w:body>
    <w:tbl>
      <w:tblPr>
        <w:tblW w:w="9000" w:type="dxa"/>
        <w:tblBorders>
          <w:top w:val="nil"/>
          <w:bottom w:val="nil"/>
          <w:left w:val="nil"/>
          <w:right w:val="nil"/>
          <w:insideH w:val="nil"/>
          <w:insideV w:val="nil"/>
        </w:tblBorders>
        <w:tblCellSpacing w:w="60" w:type="dxa"/>
        <w:shd w:val="clear" w:color="auto" w:fill="E7F0F9"/>
      </w:tblPr>
      <w:tblGrid>
        <w:gridCol w:w="1200"/>
        <w:gridCol w:w="4500"/>
      </w:tblGrid>
      <w:tr>
        <w:tc>
          <w:tcPr>
            <w:tcW w:w="1200" w:type="pct"/>
            <w:shd w:val="clear" w:color="auto" w:fill="E7F0F9"/>
          </w:tcPr>
          <w:p>
            <w:pPr>
              <w:spacing w:before="0" w:after="0" w:line="240" w:lineRule="auto"/>
              <w:jc w:val="left"/>
            </w:pPr>
            <w:r>
              <w:rPr>
                <w:b/>
              </w:rPr>
              <w:t xml:space="preserve">RKP broj</w:t>
            </w:r>
          </w:p>
        </w:tc>
        <w:tc>
          <w:tcPr>
            <w:shd w:val="clear" w:color="auto" w:fill="E7F0F9"/>
          </w:tcPr>
          <w:p>
            <w:pPr>
              <w:spacing w:before="0" w:after="0" w:line="240" w:lineRule="auto"/>
              <w:jc w:val="left"/>
            </w:pPr>
            <w:r>
              <w:t xml:space="preserve">28581</w:t>
            </w:r>
          </w:p>
        </w:tc>
      </w:tr>
      <w:tr>
        <w:tc>
          <w:tcPr>
            <w:tcW w:w="1200" w:type="pct"/>
            <w:shd w:val="clear" w:color="auto" w:fill="E7F0F9"/>
          </w:tcPr>
          <w:p>
            <w:pPr>
              <w:spacing w:before="0" w:after="0" w:line="240" w:lineRule="auto"/>
              <w:jc w:val="left"/>
            </w:pPr>
            <w:r>
              <w:rPr>
                <w:b/>
              </w:rPr>
              <w:t xml:space="preserve">Naziv obveznika</w:t>
            </w:r>
          </w:p>
        </w:tc>
        <w:tc>
          <w:tcPr>
            <w:shd w:val="clear" w:color="auto" w:fill="E7F0F9"/>
          </w:tcPr>
          <w:p>
            <w:pPr>
              <w:spacing w:before="0" w:after="0" w:line="240" w:lineRule="auto"/>
              <w:jc w:val="left"/>
            </w:pPr>
            <w:r>
              <w:t xml:space="preserve">GRAD PREGRADA</w:t>
            </w:r>
          </w:p>
        </w:tc>
      </w:tr>
      <w:tr>
        <w:tc>
          <w:tcPr>
            <w:tcW w:w="1200" w:type="pct"/>
            <w:shd w:val="clear" w:color="auto" w:fill="E7F0F9"/>
          </w:tcPr>
          <w:p>
            <w:pPr>
              <w:spacing w:before="0" w:after="0" w:line="240" w:lineRule="auto"/>
              <w:jc w:val="left"/>
            </w:pPr>
            <w:r>
              <w:rPr>
                <w:b/>
              </w:rPr>
              <w:t xml:space="preserve">Razina</w:t>
            </w:r>
          </w:p>
        </w:tc>
        <w:tc>
          <w:tcPr>
            <w:shd w:val="clear" w:color="auto" w:fill="E7F0F9"/>
          </w:tcPr>
          <w:p>
            <w:pPr>
              <w:spacing w:before="0" w:after="0" w:line="240" w:lineRule="auto"/>
              <w:jc w:val="left"/>
            </w:pPr>
            <w:r>
              <w:t xml:space="preserve">23</w:t>
            </w:r>
          </w:p>
        </w:tc>
      </w:tr>
    </w:tbl>
    <w:p>
      <w:r>
        <w:br/>
      </w:r>
    </w:p>
    <w:p>
      <w:pPr>
        <w:jc w:val="center"/>
        <w:pStyle w:val="Normal"/>
        <w:spacing w:line="240" w:lineRule="auto"/>
      </w:pPr>
      <w:r>
        <w:rPr>
          <w:b/>
          <w:sz w:val="28"/>
          <w:rFonts w:ascii="Times New Roman" w:hAnsi="Times New Roman"/>
        </w:rPr>
        <w:t xml:space="preserve">BILJEŠKE UZ FINANCIJSKE IZVJEŠTAJE</w:t>
      </w:r>
    </w:p>
    <w:p>
      <w:pPr>
        <w:jc w:val="center"/>
        <w:pStyle w:val="Normal"/>
        <w:spacing w:line="240" w:lineRule="auto"/>
      </w:pPr>
      <w:r>
        <w:rPr>
          <w:b/>
          <w:sz w:val="28"/>
          <w:rFonts w:ascii="Times New Roman" w:hAnsi="Times New Roman"/>
        </w:rPr>
        <w:t xml:space="preserve">ZA RAZDOBLJE</w:t>
      </w:r>
    </w:p>
    <w:p>
      <w:pPr>
        <w:jc w:val="center"/>
        <w:pStyle w:val="Normal"/>
        <w:spacing w:line="240" w:lineRule="auto"/>
      </w:pPr>
      <w:r>
        <w:rPr>
          <w:b/>
          <w:sz w:val="28"/>
          <w:rFonts w:ascii="Times New Roman" w:hAnsi="Times New Roman"/>
        </w:rPr>
        <w:t xml:space="preserve">I - XII 2025.</w:t>
      </w:r>
    </w:p>
    <w:p/>
    <w:p>
      <w:pPr>
        <w:jc w:val="center"/>
        <w:pStyle w:val="Normal"/>
        <w:spacing w:line="240" w:lineRule="auto"/>
        <w:keepNext/>
      </w:pPr>
      <w:r>
        <w:rPr>
          <w:b/>
          <w:sz w:val="28"/>
          <w:rFonts w:ascii="Times New Roman" w:hAnsi="Times New Roman"/>
        </w:rPr>
        <w:t xml:space="preserve">Izvještaj o prihodima i rashodima, primicima i izdacima</w:t>
      </w:r>
    </w:p>
    <w:p>
      <w:pPr>
        <w:jc w:val="center"/>
        <w:pStyle w:val="Normal"/>
        <w:spacing w:line="240" w:lineRule="auto"/>
        <w:keepNext/>
      </w:pPr>
      <w:r>
        <w:rPr>
          <w:sz w:val="28"/>
          <w:rFonts w:ascii="Times New Roman" w:hAnsi="Times New Roman"/>
        </w:rPr>
        <w:t xml:space="preserve">Bilješka 1.</w:t>
      </w:r>
    </w:p>
    <w:tbl>
      <w:tblPr>
        <w:tblBorders>
          <w:top w:val="single" w:color="BABABA" w:sz="12"/>
          <w:bottom w:val="single" w:color="BABABA" w:sz="12"/>
          <w:left w:val="single" w:color="BABABA" w:sz="12"/>
          <w:right w:val="single" w:color="BABABA" w:sz="12"/>
          <w:insideH w:val="single" w:color="BABABA" w:sz="8"/>
          <w:insideV w:val="single" w:color="DADADA" w:sz="8"/>
        </w:tblBorders>
        <w:tblW w:w="0" w:type="auto"/>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PRIHODI POSLOVANJA (šifre 61+62+63+64+65+66+67+68)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5.333.625,83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8.870.124,50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166,3</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RASHODI POSLOVANJA (šifre 31+32+34+35+36+37+38)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3.743.528,37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4.668.668,43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124,7</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VIŠAK PRIHODA POSLOVANJA (šifre 6-Z005)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X001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1.590.097,46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4.201.456,07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264,2</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Prihodi od prodaje nefinancijske imovine (šifre 71+72+73+74)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1.449,27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36.035,47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2486,5</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Rashodi za nabavu nefinancijske imovine (šifre 41+42+43+44+45)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2.755.373,56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6.620.514,30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240,3</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MANJAK PRIHODA OD NEFINANCIJSKE IMOVINE (šifre 4-7)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Y002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2.753.924,29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6.584.478,83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239,1</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Primici od financijske imovine i zaduživanja (šifre 81+82+83+84+85)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2.700.000,00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Izdaci za financijsku imovinu i otplate zajmova (šifre 51+52+53+54+55)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300.000,00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VIŠAK PRIMITAKA OD FINANCIJSKE IMOVINE I ZADUŽIVANJA (šifre 8-5)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X003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2.700.000,00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VIŠAK PRIHODA I PRIMITAKA (šifre X678-Y345)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X005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316.977,24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w:t>
            </w:r>
          </w:p>
        </w:tc>
      </w:tr>
    </w:tbl>
    <w:p>
      <w:pPr>
        <w:spacing w:before="0" w:after="0"/>
      </w:pPr>
    </w:p>
    <w:p>
      <w:r>
        <w:t xml:space="preserve">Prikazani su ukupni prihodi i primici u iznosu 11.606.159,97 EUR  koji obuhvaćaju zbrojene  prihode i primitke Grada i proračunskih korisnika nakon eliminiranja iznosa prijenosa proračunskih sredstava korisnicima (skupina konta 671 i 639 kod korisnika - razina 21) u ukupnom iznosu 1.309.702,29 EUR. Ukupni prihodi i primitci  u odnosu na prethodno razdoblje poveaćni su za 117,50 %. </w:t>
      </w:r>
    </w:p>
    <w:p>
      <w:r>
        <w:t xml:space="preserve">Prikazani su ukupni rashodi i izdaci u iznosu 11.289.182,73 EUR koji obuhvaćaju zbrojene rashode  Grada i proračunskih korisnika nakon eliminiranja iznosa prijenosa sredstava korisnicima (skupina konta 367 Grada - razina 22 i 369 kod Gradske knjižnice – razina 21) u ukupnom iznosu od 1.309.702,29 EUR. Ukupni rashodi veći su u odnosu na prethodno razdoblje za 66,00 %. </w:t>
      </w:r>
    </w:p>
    <w:p>
      <w:r>
        <w:t xml:space="preserve">Povećanje prihoda i primitaka te rashoda i izdataka najvećim se dijelom odnosi na provedbu kapitalnih projekata na području Grada, te na povećanje primitaka od zaduživanja u iznosu od 2.700.000,00 EUR koji se odnose na kreditna zaduženja Grada tijekom 2025. godine.</w:t>
      </w:r>
    </w:p>
    <w:p>
      <w:r>
        <w:t xml:space="preserve">Konsolidirani rezultat poslovne godine 2025. je višak u iznosu od 316.977,24 EUR, preneseni konsolidirani manjak iz prethodnih godina je 818.075,65 EUR. </w:t>
      </w:r>
    </w:p>
    <w:p>
      <w:r>
        <w:t xml:space="preserve">Konsolidirani manjak za prijenos u naredno razdoblje iznosi 501.098,41 EUR. </w:t>
      </w:r>
    </w:p>
    <w:p>
      <w:r>
        <w:t xml:space="preserve"> </w:t>
      </w:r>
    </w:p>
    <w:p>
      <w:r>
        <w:t xml:space="preserve">Glazbenu školu Pregrada koja je također proračunski korisnik Proračuna grada Pregrade konsolidira Krapinsko zagorska županija.</w:t>
      </w:r>
    </w:p>
    <w:p>
      <w:r>
        <w:t xml:space="preserve"> </w:t>
      </w:r>
    </w:p>
    <w:p>
      <w:r>
        <w:t xml:space="preserve"> </w:t>
      </w:r>
    </w:p>
    <w:p>
      <w:r>
        <w:br/>
      </w:r>
    </w:p>
    <w:p>
      <w:pPr>
        <w:jc w:val="center"/>
        <w:pStyle w:val="Normal"/>
        <w:spacing w:line="240" w:lineRule="auto"/>
        <w:keepNext/>
      </w:pPr>
      <w:r>
        <w:rPr>
          <w:sz w:val="28"/>
          <w:rFonts w:ascii="Times New Roman" w:hAnsi="Times New Roman"/>
        </w:rPr>
        <w:t xml:space="preserve">Bilješka 2.</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611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Porez na dohodak (šifre 6111 do 6116 - 6117 - 6119)</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611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3.110.528,29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3.433.707,27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110,4</w:t>
            </w:r>
          </w:p>
        </w:tc>
      </w:tr>
    </w:tbl>
    <w:p>
      <w:pPr>
        <w:spacing w:before="0" w:after="0"/>
      </w:pPr>
    </w:p>
    <w:p>
      <w:r>
        <w:t xml:space="preserve">Na šifri 611  prikazani su prihodi od poreza na dohodak u iznosu 3.433.707,27 EUR što iznosi 10,4 % više u odnosu na isto razdoblje prethodne godine. U odnosu na prethodno razdoblje bilježimo povećanje po svim stavkama prihoda od poreza na dohodak. </w:t>
      </w:r>
    </w:p>
    <w:p/>
    <w:p>
      <w:pPr>
        <w:jc w:val="center"/>
        <w:pStyle w:val="Normal"/>
        <w:spacing w:line="240" w:lineRule="auto"/>
        <w:keepNext/>
      </w:pPr>
      <w:r>
        <w:rPr>
          <w:sz w:val="28"/>
          <w:rFonts w:ascii="Times New Roman" w:hAnsi="Times New Roman"/>
        </w:rPr>
        <w:t xml:space="preserve">Bilješka 3.</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6113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Porez na dohodak od imovine i imovinskih prava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6113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70.708,59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78.151,02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110,5</w:t>
            </w:r>
          </w:p>
        </w:tc>
      </w:tr>
    </w:tbl>
    <w:p>
      <w:pPr>
        <w:spacing w:before="0" w:after="0"/>
      </w:pPr>
    </w:p>
    <w:p>
      <w:r>
        <w:t xml:space="preserve">bilježimo povećanje od 29,7 % u odnosu na prethodno razdoblje</w:t>
      </w:r>
    </w:p>
    <w:p>
      <w:r>
        <w:t xml:space="preserve"> </w:t>
      </w:r>
    </w:p>
    <w:p/>
    <w:p>
      <w:pPr>
        <w:jc w:val="center"/>
        <w:pStyle w:val="Normal"/>
        <w:spacing w:line="240" w:lineRule="auto"/>
        <w:keepNext/>
      </w:pPr>
      <w:r>
        <w:rPr>
          <w:sz w:val="28"/>
          <w:rFonts w:ascii="Times New Roman" w:hAnsi="Times New Roman"/>
        </w:rPr>
        <w:t xml:space="preserve">Bilješka 4.</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613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Porezi na imovinu (šifre 6131 do 6135)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613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93.046,95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120.699,67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129,7</w:t>
            </w:r>
          </w:p>
        </w:tc>
      </w:tr>
    </w:tbl>
    <w:p>
      <w:pPr>
        <w:spacing w:before="0" w:after="0"/>
      </w:pPr>
    </w:p>
    <w:p>
      <w:r>
        <w:t xml:space="preserve">Na šifri 613 prikazani su prihodi od poreza na imovinu gdje bilježimo povećanje od 29,7 % u odnosu na prethodno razdoblje. Povećanje se odnosi na povećane prihode od poreza na promet nekretnina.  </w:t>
      </w:r>
    </w:p>
    <w:p/>
    <w:p>
      <w:pPr>
        <w:jc w:val="center"/>
        <w:pStyle w:val="Normal"/>
        <w:spacing w:line="240" w:lineRule="auto"/>
        <w:keepNext/>
      </w:pPr>
      <w:r>
        <w:rPr>
          <w:sz w:val="28"/>
          <w:rFonts w:ascii="Times New Roman" w:hAnsi="Times New Roman"/>
        </w:rPr>
        <w:t xml:space="preserve">Bilješka 5.</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614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Porezi na robu i usluge (šifre 6141 do 61476148)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614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15.545,19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17.410,92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112,0</w:t>
            </w:r>
          </w:p>
        </w:tc>
      </w:tr>
    </w:tbl>
    <w:p>
      <w:pPr>
        <w:spacing w:before="0" w:after="0"/>
      </w:pPr>
    </w:p>
    <w:p>
      <w:r>
        <w:t xml:space="preserve">Na šifri 614 prikazani su porezi na robu i usluge u iznosu od 17.410,92 EUR što je 12,0 % više u odnosu na prethodno razdoblje prošle godine. Tijekom 2025. godine naplaćeno je više poreza na potrošnju alkoholnih i bezalkoholnih pića.</w:t>
      </w:r>
    </w:p>
    <w:p/>
    <w:p>
      <w:pPr>
        <w:jc w:val="center"/>
        <w:pStyle w:val="Normal"/>
        <w:spacing w:line="240" w:lineRule="auto"/>
        <w:keepNext/>
      </w:pPr>
      <w:r>
        <w:rPr>
          <w:sz w:val="28"/>
          <w:rFonts w:ascii="Times New Roman" w:hAnsi="Times New Roman"/>
        </w:rPr>
        <w:t xml:space="preserve">Bilješka 6.</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Pomoći iz inozemstva i od subjekata unutar općeg proračuna (šifre 631+632+633+634+635+636+637+638+639)</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1.353.881,92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4.479.361,91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330,9</w:t>
            </w:r>
          </w:p>
        </w:tc>
      </w:tr>
    </w:tbl>
    <w:p>
      <w:pPr>
        <w:spacing w:before="0" w:after="0"/>
      </w:pPr>
    </w:p>
    <w:p>
      <w:r>
        <w:t xml:space="preserve">Na šifri 63 u okviru pomoći realizirano je ukupno 4.479.361,91 EUR, što je više za 230,90 % u odnosu na prethodno razdoblje. Povećanje je rezultat više zaprimljenih pomoći u Proračun Grada tijekom 2025. godine u odnosu na prethodno razdoblje.</w:t>
      </w:r>
    </w:p>
    <w:p>
      <w:r>
        <w:t xml:space="preserve">U nastavku su navedene sve primljene pomoći tijekom 2025. godine kod Grada Prgerade i proračunskih korisnika:</w:t>
      </w:r>
    </w:p>
    <w:p>
      <w:r>
        <w:rPr>
          <w:b/>
          <w:i/>
        </w:rPr>
        <w:t xml:space="preserve">GRAD PREGRADA</w:t>
      </w:r>
    </w:p>
    <w:p>
      <w:r>
        <w:rPr>
          <w:i/>
        </w:rPr>
        <w:t xml:space="preserve">1</w:t>
      </w:r>
      <w:r>
        <w:t xml:space="preserve">.  </w:t>
      </w:r>
      <w:r>
        <w:rPr>
          <w:i/>
        </w:rPr>
        <w:t xml:space="preserve">Ministarstvo kulture i medija - Izrada projektne dokumentacije i provedba mjera zaštite rodne kuće Janka Leskovara, Valentinovo 9, Pregrada</w:t>
      </w:r>
      <w:r>
        <w:br/>
      </w:r>
      <w:r>
        <w:rPr>
          <w:i/>
        </w:rPr>
        <w:t xml:space="preserve">418.296,88 €</w:t>
      </w:r>
    </w:p>
    <w:p>
      <w:r>
        <w:t xml:space="preserve">2.  Ministarstvo kulture i medija- Sanacija gospodarske zgrade - žitnice dvorca Bežanec 24.000,00 €</w:t>
      </w:r>
    </w:p>
    <w:p>
      <w:r>
        <w:t xml:space="preserve">3.   Ministarstvo prostornoga uređenja, graditeljstva i državne imovine - Modernizacija nerazvrstanih cesta na području Grada Pregrade 2025. godine 46.400,00 €</w:t>
      </w:r>
    </w:p>
    <w:p>
      <w:r>
        <w:t xml:space="preserve">4.  Ministarstvo demografije i useljeništva - Poboljšanje materijalnih uvjeta u Dječjem vrtiću „Naša radost“ Pregrada  29.116,22 €</w:t>
      </w:r>
    </w:p>
    <w:p>
      <w:r>
        <w:rPr>
          <w:i/>
        </w:rPr>
        <w:t xml:space="preserve">5</w:t>
      </w:r>
      <w:r>
        <w:t xml:space="preserve">.  </w:t>
      </w:r>
      <w:r>
        <w:rPr>
          <w:i/>
        </w:rPr>
        <w:t xml:space="preserve">Ministarstvo turizma i sporta - Izgradnja Biološkog bazena u Pregradi 2.250.523,9 €</w:t>
      </w:r>
    </w:p>
    <w:p>
      <w:r>
        <w:t xml:space="preserve">6.  Ministarstva turizma i sporta - Rekonstrukcija i izgradnja sportskog igrališta s umjetnom travom - nogometni teren 300.000,00 €</w:t>
      </w:r>
    </w:p>
    <w:p>
      <w:r>
        <w:rPr>
          <w:i/>
        </w:rPr>
        <w:t xml:space="preserve">7.</w:t>
      </w:r>
      <w:r>
        <w:rPr>
          <w:i/>
        </w:rPr>
        <w:t xml:space="preserve"> Ministarstva znanosti i obrazovanja - Izgradnja područnog objekta Dječjeg vrtića "Naša radost" Pregrada    726.259,20 €</w:t>
      </w:r>
    </w:p>
    <w:p>
      <w:r>
        <w:rPr>
          <w:i/>
        </w:rPr>
        <w:t xml:space="preserve">8.  Agencija za plaćanja u poljoprivredi, ribarstvu i ruralnom razvoju - Izgradnja multifunkcionalne sportske građevine 49.874,58 € </w:t>
      </w:r>
    </w:p>
    <w:p>
      <w:r>
        <w:t xml:space="preserve">9.  Državni proračun - Fiskalno izravnanje JLP(R)S za 2025. godinu 387.731,52 €</w:t>
      </w:r>
    </w:p>
    <w:p>
      <w:r>
        <w:t xml:space="preserve">10.  Državni proračun - Fiskalna održivost dječjih vrtića za 2025. godinu 157.463,96 €</w:t>
      </w:r>
    </w:p>
    <w:p>
      <w:r>
        <w:t xml:space="preserve">11.  Državni proračun - Funkcionalno spajanje JLS - poljoprivredni redar 1.823,81 €</w:t>
      </w:r>
    </w:p>
    <w:p>
      <w:r>
        <w:t xml:space="preserve">12.  Krapinsko-zagorska županija - Spomen-obilježje posvećeno žrtvama fašizma i antifašističkim borcima 14.685,82 €</w:t>
      </w:r>
    </w:p>
    <w:p>
      <w:r>
        <w:t xml:space="preserve">13.  Krapinsko-zagorska županija - Sufinanciranje sanacije lokacija onečišćenih otpadom odbačenim u okoliš  2.000,00 €</w:t>
      </w:r>
    </w:p>
    <w:p>
      <w:r>
        <w:t xml:space="preserve">14.  Hrvatske vode - Izrada projektne dokumentacije za sanaciju klizišta Pl-9 i K-9  12.684,38 €</w:t>
      </w:r>
    </w:p>
    <w:p>
      <w:r>
        <w:rPr>
          <w:i/>
        </w:rPr>
        <w:t xml:space="preserve">15.  Ajuntament de Pego - CERV - European EcoSphere - Building Youth Community Resilience through Nature Engagement 7.875,00 € </w:t>
      </w:r>
    </w:p>
    <w:p>
      <w:pPr>
        <w:jc w:val="left"/>
      </w:pPr>
      <w:r>
        <w:rPr>
          <w:i/>
        </w:rPr>
        <w:t xml:space="preserve">16.  Asociatia Se Poate - CERV - Green IT Your Work 15.500,00 €   </w:t>
      </w:r>
      <w:r>
        <w:br/>
      </w:r>
      <w:r>
        <w:t xml:space="preserve"> </w:t>
      </w:r>
      <w:r>
        <w:br/>
      </w:r>
      <w:r>
        <w:rPr>
          <w:b/>
        </w:rPr>
        <w:t xml:space="preserve"> UKUPNO     4.444.235,27 €</w:t>
      </w:r>
      <w:r>
        <w:t xml:space="preserve">  </w:t>
      </w:r>
    </w:p>
    <w:p>
      <w:r>
        <w:br/>
      </w:r>
      <w:r>
        <w:rPr>
          <w:b/>
        </w:rPr>
        <w:t xml:space="preserve">DJEČJI VRTIĆ "Naša radost"</w:t>
      </w:r>
    </w:p>
    <w:p>
      <w:r>
        <w:t xml:space="preserve">1. Prihodi dobiveni iz nenadležnih proračuna (sufinanciranje drugih općina, sredstva MZOS za program predškole, djecu s teškoćama u razvoju i donacija didaktike KZŽ)  5.017,60 €</w:t>
      </w:r>
    </w:p>
    <w:p>
      <w:r>
        <w:rPr>
          <w:b/>
        </w:rPr>
        <w:t xml:space="preserve">UKUPNO 5.017,60 €</w:t>
      </w:r>
    </w:p>
    <w:p>
      <w:r>
        <w:t xml:space="preserve"> </w:t>
      </w:r>
    </w:p>
    <w:p>
      <w:r>
        <w:rPr>
          <w:b/>
        </w:rPr>
        <w:t xml:space="preserve">GRADSKA KNJIŽNICA</w:t>
      </w:r>
      <w:r>
        <w:br/>
      </w:r>
      <w:r>
        <w:br/>
      </w:r>
      <w:r>
        <w:t xml:space="preserve">1. Ministarstvo kulture i medija - nabava knjižne građe  17.200,00 €,</w:t>
      </w:r>
      <w:r>
        <w:br/>
      </w:r>
      <w:r>
        <w:t xml:space="preserve">2. Krapinsko-zagorska županije - nabava knjižne građe i informatičke opreme  700,00 €,</w:t>
      </w:r>
    </w:p>
    <w:p>
      <w:r>
        <w:rPr>
          <w:b/>
        </w:rPr>
        <w:t xml:space="preserve">UKUPNO 17.900,00 €</w:t>
      </w:r>
      <w:r>
        <w:br/>
      </w:r>
      <w:r>
        <w:br/>
      </w:r>
      <w:r>
        <w:rPr>
          <w:b/>
        </w:rPr>
        <w:t xml:space="preserve">MUZEJ GRADA PREGRADE ZLATKO DRAGUTIN TUDJINA</w:t>
      </w:r>
    </w:p>
    <w:p>
      <w:r>
        <w:t xml:space="preserve">1. Ministarstvo kulture i medija - opremanje muzejske čuvaonice 3.000,00 €,</w:t>
      </w:r>
      <w:r>
        <w:br/>
      </w:r>
      <w:r>
        <w:rPr>
          <w:i/>
        </w:rPr>
        <w:t xml:space="preserve">2. Erasmus+ projekt akreditacija br. 2024-1-HR01-KA121-ADU-000212826  za 245-2024   7.098,69 €</w:t>
      </w:r>
    </w:p>
    <w:p>
      <w:r>
        <w:rPr>
          <w:b/>
        </w:rPr>
        <w:t xml:space="preserve">UKUPNO 10.098,69 €</w:t>
      </w:r>
    </w:p>
    <w:p>
      <w:r>
        <w:br/>
      </w:r>
      <w:r>
        <w:rPr>
          <w:b/>
        </w:rPr>
        <w:t xml:space="preserve">PUČKO OTVORENO UČILIŠTE</w:t>
      </w:r>
      <w:r>
        <w:br/>
      </w:r>
      <w:r>
        <w:br/>
      </w:r>
      <w:r>
        <w:t xml:space="preserve">1. Ministarstvo kulture i medija - Javni poziv za programe urbane kulture u Pregradi 2025. godine 2.000,00 €,</w:t>
      </w:r>
      <w:r>
        <w:br/>
      </w:r>
      <w:r>
        <w:rPr>
          <w:i/>
        </w:rPr>
        <w:t xml:space="preserve">2.  Povrat troškova putovanja zbog projekta Aktivnosti transnacionalne suradnje (TCA) 110,35 €</w:t>
      </w:r>
    </w:p>
    <w:p>
      <w:r>
        <w:rPr>
          <w:b/>
        </w:rPr>
        <w:t xml:space="preserve">UKUPNO 2.110,35 € </w:t>
      </w:r>
    </w:p>
    <w:p>
      <w:r>
        <w:br/>
      </w:r>
      <w:r>
        <w:rPr>
          <w:b/>
        </w:rPr>
        <w:t xml:space="preserve">SVEUKUPNO POMOĆI  4.479.361,91 €</w:t>
      </w:r>
    </w:p>
    <w:p>
      <w:r>
        <w:t xml:space="preserve">**EU sredstva</w:t>
      </w:r>
    </w:p>
    <w:p/>
    <w:p>
      <w:pPr>
        <w:jc w:val="center"/>
        <w:pStyle w:val="Normal"/>
        <w:spacing w:line="240" w:lineRule="auto"/>
        <w:keepNext/>
      </w:pPr>
      <w:r>
        <w:rPr>
          <w:sz w:val="28"/>
          <w:rFonts w:ascii="Times New Roman" w:hAnsi="Times New Roman"/>
        </w:rPr>
        <w:t xml:space="preserve">Bilješka 7.</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Pomoći izravnanja za decentralizirane funkcije i fiskalnog izravnanja (šifre 6351 do 6353)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387.731,52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Na šifri 635 tijekom 2025. godine realizirano je 387.731,52 EUR što se odnosi na fiskalno izravnanje JLP(R)S za 2025. godinu. Prethodne godine pomoći za fiskalno izravnanje evidentirane su na šifri 633. </w:t>
      </w:r>
    </w:p>
    <w:p/>
    <w:p>
      <w:pPr>
        <w:jc w:val="center"/>
        <w:pStyle w:val="Normal"/>
        <w:spacing w:line="240" w:lineRule="auto"/>
        <w:keepNext/>
      </w:pPr>
      <w:r>
        <w:rPr>
          <w:sz w:val="28"/>
          <w:rFonts w:ascii="Times New Roman" w:hAnsi="Times New Roman"/>
        </w:rPr>
        <w:t xml:space="preserve">Bilješka 8.</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Prihodi od imovine (šifre 641+642+643)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86.974,57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121.494,68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139,7</w:t>
            </w:r>
          </w:p>
        </w:tc>
      </w:tr>
    </w:tbl>
    <w:p>
      <w:pPr>
        <w:spacing w:before="0" w:after="0"/>
      </w:pPr>
    </w:p>
    <w:p>
      <w:r>
        <w:t xml:space="preserve">Na šifri 64 prikazani su prihodi od financijske imovine u iznosu od 121.365,23 EUR. Povećanje u odnosu na prethodnu godinu odnosi se na veći iznos prihoda od zakupa i iznajmljivanja imovine te naknada za korištenje nefinancijske imovine.</w:t>
      </w:r>
    </w:p>
    <w:p/>
    <w:p>
      <w:pPr>
        <w:jc w:val="center"/>
        <w:pStyle w:val="Normal"/>
        <w:spacing w:line="240" w:lineRule="auto"/>
        <w:keepNext/>
      </w:pPr>
      <w:r>
        <w:rPr>
          <w:sz w:val="28"/>
          <w:rFonts w:ascii="Times New Roman" w:hAnsi="Times New Roman"/>
        </w:rPr>
        <w:t xml:space="preserve">Bilješka 9.</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Prihodi od upravnih i administrativnih pristojbi, pristojbi po posebnim propisima i naknada (šifre 651+652+653+654)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665.929,74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561.398,33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84,3</w:t>
            </w:r>
          </w:p>
        </w:tc>
      </w:tr>
    </w:tbl>
    <w:p>
      <w:pPr>
        <w:spacing w:before="0" w:after="0"/>
      </w:pPr>
    </w:p>
    <w:p>
      <w:r>
        <w:t xml:space="preserve">Na šifri 65 prikazani su prihodi od upravnih i administrativnih pristojvi, pristojbi po posebnim propisima i naknada u iznosu od 561.398,33 EUR.  Smanjenje, u odnosu na prethodno razdoblje, se odnosi najviše na manji iznos naplaćenih boravišnih pristojbi, naknada za prenamjenu zemljišta te prihoda od prodaje biljega.</w:t>
      </w:r>
    </w:p>
    <w:p/>
    <w:p>
      <w:pPr>
        <w:jc w:val="center"/>
        <w:pStyle w:val="Normal"/>
        <w:spacing w:line="240" w:lineRule="auto"/>
        <w:keepNext/>
      </w:pPr>
      <w:r>
        <w:rPr>
          <w:sz w:val="28"/>
          <w:rFonts w:ascii="Times New Roman" w:hAnsi="Times New Roman"/>
        </w:rPr>
        <w:t xml:space="preserve">Bilješka 10.</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Kazne, upravne mjere i ostali prihodi (šifre 681+683)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3.949,28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132.198,23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3347,4</w:t>
            </w:r>
          </w:p>
        </w:tc>
      </w:tr>
    </w:tbl>
    <w:p>
      <w:pPr>
        <w:spacing w:before="0" w:after="0"/>
      </w:pPr>
    </w:p>
    <w:p>
      <w:r>
        <w:t xml:space="preserve">Na šifri 68 prikazan je iznos od 132.198,23 EUR, što je porast od 3.247,4% u odnosu na proteklo razdoblje, a odnosi se najvećim dijelom na naplaćenu ugovornu kaznu za kašnjenje u izvođenju radova na izgradnji područnog objekta dječjeg vrtića u ukupnom  iznosu od 125.395,45 EUR.</w:t>
      </w:r>
    </w:p>
    <w:p/>
    <w:p>
      <w:pPr>
        <w:jc w:val="center"/>
        <w:pStyle w:val="Normal"/>
        <w:spacing w:line="240" w:lineRule="auto"/>
        <w:keepNext/>
      </w:pPr>
      <w:r>
        <w:rPr>
          <w:sz w:val="28"/>
          <w:rFonts w:ascii="Times New Roman" w:hAnsi="Times New Roman"/>
        </w:rPr>
        <w:t xml:space="preserve">Bilješka 11.</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Rashodi za zaposlene (šifre 311+312+313)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1.285.055,08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1.709.796,90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133,1</w:t>
            </w:r>
          </w:p>
        </w:tc>
      </w:tr>
    </w:tbl>
    <w:p>
      <w:pPr>
        <w:spacing w:before="0" w:after="0"/>
      </w:pPr>
    </w:p>
    <w:p>
      <w:r>
        <w:t xml:space="preserve">Na šifri 31 prikazani su rashodi za zaposlenike Grada, Knjižnice, Muzeja i DV Naša radost u ukupnom iznosu od 1.709.796,90 EUR. Ovo povećanje rezultat je rasta osnovice za obračun plaća djelatnika.</w:t>
      </w:r>
    </w:p>
    <w:p/>
    <w:p>
      <w:pPr>
        <w:jc w:val="center"/>
        <w:pStyle w:val="Normal"/>
        <w:spacing w:line="240" w:lineRule="auto"/>
        <w:keepNext/>
      </w:pPr>
      <w:r>
        <w:rPr>
          <w:sz w:val="28"/>
          <w:rFonts w:ascii="Times New Roman" w:hAnsi="Times New Roman"/>
        </w:rPr>
        <w:t xml:space="preserve">Bilješka 12.</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Materijalni rashodi (šifre 321+322+323+324+325+329)</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1.764.563,67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2.031.685,80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115,1</w:t>
            </w:r>
          </w:p>
        </w:tc>
      </w:tr>
    </w:tbl>
    <w:p>
      <w:pPr>
        <w:spacing w:before="0" w:after="0"/>
      </w:pPr>
    </w:p>
    <w:p>
      <w:r>
        <w:t xml:space="preserve">Na šifri 32 prikazani materijalni rashodi u ukupnom iznosu od 2.031.685,80 EUR što je ukupno povećanje od 15,10 % u odnosu na prethodno razdoblje. Do ukupnog povećanja je došlo zbog troškova povećanje troškova održavanja nerazvrstanih cesta i komunalnih usluga čišćenja javnih površina i sl., za veterinarske usluge zbrinjavanja napuštenih pasa te povećanje troškova računalnih usluga radi implementacije riznice.</w:t>
      </w:r>
    </w:p>
    <w:p/>
    <w:p>
      <w:pPr>
        <w:jc w:val="center"/>
        <w:pStyle w:val="Normal"/>
        <w:spacing w:line="240" w:lineRule="auto"/>
        <w:keepNext/>
      </w:pPr>
      <w:r>
        <w:rPr>
          <w:sz w:val="28"/>
          <w:rFonts w:ascii="Times New Roman" w:hAnsi="Times New Roman"/>
        </w:rPr>
        <w:t xml:space="preserve">Bilješka 13.</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342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Kamate za primljene kredite i zajmove (šifre 3421 do 3428)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342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33.335,93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Na šifri 342 prikazan je iznos od 33.335,93 EUR. U promatranom razdoblju evidentirano je znatno povećanje rashoda koje se odnosi na kamate po novo odobrenim kreditima. Povećanje je izravna posljedica novog zaduženja. Navedenih rashoda u razdoblju prethodne godine nije bilo.</w:t>
      </w:r>
    </w:p>
    <w:p/>
    <w:p>
      <w:pPr>
        <w:jc w:val="center"/>
        <w:pStyle w:val="Normal"/>
        <w:spacing w:line="240" w:lineRule="auto"/>
        <w:keepNext/>
      </w:pPr>
      <w:r>
        <w:rPr>
          <w:sz w:val="28"/>
          <w:rFonts w:ascii="Times New Roman" w:hAnsi="Times New Roman"/>
        </w:rPr>
        <w:t xml:space="preserve">Bilješka 14.</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343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Ostali financijski rashodi (šifre 3431 do 3434)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343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9.148,46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21.529,20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235,3</w:t>
            </w:r>
          </w:p>
        </w:tc>
      </w:tr>
    </w:tbl>
    <w:p>
      <w:pPr>
        <w:spacing w:before="0" w:after="0"/>
      </w:pPr>
    </w:p>
    <w:p>
      <w:r>
        <w:t xml:space="preserve">Na šifri 343 prikazani su troškovi ostalih financijskih rashoda u ukupnom iznosu od 18.580,30 EUR, što je za povećanje od 175,3 % u odnosu na prethodnu godinu. Povećanje se odnosi na veće troškove naknada za bankarske usluge i usluge platnog prometa po računu, jer je Grad tijekom godine koristio dopušteno prekoračenje po transakcijskom računu te se dodatno zaduživao.</w:t>
      </w:r>
    </w:p>
    <w:p/>
    <w:p>
      <w:pPr>
        <w:jc w:val="center"/>
        <w:pStyle w:val="Normal"/>
        <w:spacing w:line="240" w:lineRule="auto"/>
        <w:keepNext/>
      </w:pPr>
      <w:r>
        <w:rPr>
          <w:sz w:val="28"/>
          <w:rFonts w:ascii="Times New Roman" w:hAnsi="Times New Roman"/>
        </w:rPr>
        <w:t xml:space="preserve">Bilješka 15.</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363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Pomoći drugom proračunu i izvanproračunskim korisnicima (šifre 3631 do 3636)</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363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3.000,00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31.537,23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1051,2</w:t>
            </w:r>
          </w:p>
        </w:tc>
      </w:tr>
    </w:tbl>
    <w:p>
      <w:pPr>
        <w:spacing w:before="0" w:after="0"/>
      </w:pPr>
    </w:p>
    <w:p>
      <w:r>
        <w:t xml:space="preserve">Na šifri 363 prikazani su troškovi u iznosu od 31.537,23 EUR, pri čemu se bilježi znatno povećanje od 951,2 % koje se odnosi na prijenos sredstava Krapinsko-zagorskoj županiji za provedbu lokalnih izbora.</w:t>
      </w:r>
    </w:p>
    <w:p/>
    <w:p>
      <w:pPr>
        <w:jc w:val="center"/>
        <w:pStyle w:val="Normal"/>
        <w:spacing w:line="240" w:lineRule="auto"/>
        <w:keepNext/>
      </w:pPr>
      <w:r>
        <w:rPr>
          <w:sz w:val="28"/>
          <w:rFonts w:ascii="Times New Roman" w:hAnsi="Times New Roman"/>
        </w:rPr>
        <w:t xml:space="preserve">Bilješka 16.</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Prihodi od prodaje nefinancijske imovine (šifre 71+72+73+74)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1.449,27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36.035,47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2486,5</w:t>
            </w:r>
          </w:p>
        </w:tc>
      </w:tr>
    </w:tbl>
    <w:p>
      <w:pPr>
        <w:spacing w:before="0" w:after="0"/>
      </w:pPr>
    </w:p>
    <w:p>
      <w:r>
        <w:t xml:space="preserve">Na šifri 7 prikazani su prihodi od prodaje nefinancijske imovine koji iznose 36.035,47 EUR,  što je 2.386,5 % više u odnosu na prethodnu godinu. Navedeni iznos odnosi se na prodaju garaže i dvorišta u Pregradi te prodaju zemljišta u Pavlovcu Pregradskom</w:t>
      </w:r>
    </w:p>
    <w:p/>
    <w:p>
      <w:pPr>
        <w:jc w:val="center"/>
        <w:pStyle w:val="Normal"/>
        <w:spacing w:line="240" w:lineRule="auto"/>
        <w:keepNext/>
      </w:pPr>
      <w:r>
        <w:rPr>
          <w:sz w:val="28"/>
          <w:rFonts w:ascii="Times New Roman" w:hAnsi="Times New Roman"/>
        </w:rPr>
        <w:t xml:space="preserve">Bilješka 17.</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Rashodi za nabavu nefinancijske imovine (šifre 41+42+43+44+45)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2.755.373,56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6.620.514,30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240,3</w:t>
            </w:r>
          </w:p>
        </w:tc>
      </w:tr>
    </w:tbl>
    <w:p>
      <w:pPr>
        <w:spacing w:before="0" w:after="0"/>
      </w:pPr>
    </w:p>
    <w:p>
      <w:r>
        <w:t xml:space="preserve">Na šifri 4 rashodi za nabavu nefinancijske imovine - prikazani su troškovi ulaganja u visini 6.620.514,30 EUR što je 140,3 % više u odnosu na isto razdoblje prethodne godine. Glavnina rashoda se odnosi na ulaganje u kapitalne projekte: Izrada projektne dokumentacije i provedba mjera zaštite rodne kuće Janka Leskovara, Valentinovo 9, Pregrada, Izgradnja Biološkog bazena u Pregradi, Izgradnja područnog objekta Dječjeg vrtića "Naša radost" Pregrada, Spomen-obilježje posvećeno žrtvama fašizma i antifašističkim borcima, Sanacija gospodarske zgrade - žitnice dvorca Bežanec, nabava i ugradnja klimatizacijskih uređaja za prostorije Grada Pregrade, modernizacija nerazvrstanih cesta, sanacija klizišta na području grada, Nabava i postava podiznih platformi na upravnoj zgradi i izgradnja javne rasvjete.</w:t>
      </w:r>
    </w:p>
    <w:p/>
    <w:p>
      <w:pPr>
        <w:jc w:val="center"/>
        <w:pStyle w:val="Normal"/>
        <w:spacing w:line="240" w:lineRule="auto"/>
        <w:keepNext/>
      </w:pPr>
      <w:r>
        <w:rPr>
          <w:sz w:val="28"/>
          <w:rFonts w:ascii="Times New Roman" w:hAnsi="Times New Roman"/>
        </w:rPr>
        <w:t xml:space="preserve">Bilješka 18.</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Primici od financijske imovine i zaduživanja (šifre 81+82+83+84+85)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2.700.000,00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Na šifri 8 prikazani su primici od zaduživanja u iznosu od 2.700.000,00 EUR na ime kreditnog zaduženja kod HBOR-a za realizaciju projekta Izgradnja područnog objekta DV „Naša Radost“ Pregrada te kratkoročnog zaduživanja kod Privredne banke Zagreb po principu dozvoljenog prekoračenja po transakcijskom računu</w:t>
      </w:r>
    </w:p>
    <w:p/>
    <w:p>
      <w:pPr>
        <w:jc w:val="center"/>
        <w:pStyle w:val="Normal"/>
        <w:spacing w:line="240" w:lineRule="auto"/>
        <w:keepNext/>
      </w:pPr>
      <w:r>
        <w:rPr>
          <w:b/>
          <w:sz w:val="28"/>
          <w:rFonts w:ascii="Times New Roman" w:hAnsi="Times New Roman"/>
        </w:rPr>
        <w:t xml:space="preserve">Bilanca</w:t>
      </w:r>
    </w:p>
    <w:p>
      <w:pPr>
        <w:jc w:val="center"/>
        <w:pStyle w:val="Normal"/>
        <w:spacing w:line="240" w:lineRule="auto"/>
        <w:keepNext/>
      </w:pPr>
      <w:r>
        <w:rPr>
          <w:sz w:val="28"/>
          <w:rFonts w:ascii="Times New Roman" w:hAnsi="Times New Roman"/>
        </w:rPr>
        <w:t xml:space="preserve">Bilješka 19.</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IMOVINA (šifre B002+1)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B001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18.861.860,01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26.473.876,88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140,4</w:t>
            </w:r>
          </w:p>
        </w:tc>
      </w:tr>
    </w:tbl>
    <w:p>
      <w:pPr>
        <w:spacing w:before="0" w:after="0"/>
      </w:pPr>
    </w:p>
    <w:p>
      <w:r>
        <w:t xml:space="preserve">Na šifri B001 Imovina prikazana je ukupna vrijednost imovine u iznosu od 26.473.876,88 EUR što je 40,4 % više u odnosu na isto razdoblje protekle godine. Povećanje se odnosi na završetak izgradnje i opremanja područnog objekta dječjeg vrtića.</w:t>
      </w:r>
    </w:p>
    <w:p/>
    <w:p>
      <w:pPr>
        <w:jc w:val="center"/>
        <w:pStyle w:val="Normal"/>
        <w:spacing w:line="240" w:lineRule="auto"/>
        <w:keepNext/>
      </w:pPr>
      <w:r>
        <w:rPr>
          <w:sz w:val="28"/>
          <w:rFonts w:ascii="Times New Roman" w:hAnsi="Times New Roman"/>
        </w:rPr>
        <w:t xml:space="preserve">Bilješka 20.</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OBVEZE I VLASTITI IZVORI (šifre 2+9)</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B003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18.861.860,01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26.473.876,88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140,4</w:t>
            </w:r>
          </w:p>
        </w:tc>
      </w:tr>
    </w:tbl>
    <w:p>
      <w:pPr>
        <w:spacing w:before="0" w:after="0"/>
      </w:pPr>
    </w:p>
    <w:p>
      <w:r>
        <w:t xml:space="preserve">Na šifri B003 Obveze i vlastiti izvori prikazane su obveze i vlastiti izvori u iznosu od 26.473.876,68 EUR 40,4 % više u odnosu na isto razdoblje protekle godine.</w:t>
      </w:r>
    </w:p>
    <w:p/>
    <w:p>
      <w:pPr>
        <w:jc w:val="center"/>
        <w:pStyle w:val="Normal"/>
        <w:spacing w:line="240" w:lineRule="auto"/>
        <w:keepNext/>
      </w:pPr>
      <w:r>
        <w:rPr>
          <w:sz w:val="28"/>
          <w:rFonts w:ascii="Times New Roman" w:hAnsi="Times New Roman"/>
        </w:rPr>
        <w:t xml:space="preserve">Bilješka 21.</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Obveze (šifre 23+24+25+26+27+29)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1.208.839,66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3.482.896,87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288,1</w:t>
            </w:r>
          </w:p>
        </w:tc>
      </w:tr>
    </w:tbl>
    <w:p>
      <w:pPr>
        <w:spacing w:before="0" w:after="0"/>
      </w:pPr>
    </w:p>
    <w:p>
      <w:r>
        <w:t xml:space="preserve">Na šifri 2 Obveze prikazano je stanje obveza iznosi 3.482.896,87 EUR što je za 188,10 % više u odnosu na stanje 31.12.2024. godine. Najveće odstupanje u odnosu na prethodno razdoblje bilježimo na šifri 26 obveze za kredite zbog kreditnog zaduženja Grada tokom 2025. godine. </w:t>
      </w:r>
    </w:p>
    <w:p/>
    <w:p>
      <w:pPr>
        <w:jc w:val="center"/>
        <w:pStyle w:val="Normal"/>
        <w:spacing w:line="240" w:lineRule="auto"/>
        <w:keepNext/>
      </w:pPr>
      <w:r>
        <w:rPr>
          <w:sz w:val="28"/>
          <w:rFonts w:ascii="Times New Roman" w:hAnsi="Times New Roman"/>
        </w:rPr>
        <w:t xml:space="preserve">Bilješka 22.</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922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Rezultat - višak/manjak (šifre 9221-9222)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922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-911.404,34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-501.098,41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55,0</w:t>
            </w:r>
          </w:p>
        </w:tc>
      </w:tr>
    </w:tbl>
    <w:p>
      <w:pPr>
        <w:spacing w:before="0" w:after="0"/>
      </w:pPr>
    </w:p>
    <w:p>
      <w:r>
        <w:t xml:space="preserve">Na šifri 922 u izvještajnom razdoblju izvršen je ispravak knjiženja na kontu 922 zbog pogrešno evidentiranog povrata poreza iz 2021. godine. Ispravkom je usklađeno stanje prenesenog manjka, koje se razlikuje u odnosu na iznos iskazan u prethodnim financijskim izvještajima. Ispravak se odnosi isključivo na prethodna razdoblja i nema utjecaja na rezultat tekuće godine. U prethodnom razdoblju bio je iskazan konsolidirani manjak u iznosu od 911.404,34 EUR dok ispravljeni iznos prenesenog konsolidiranog manjka iznosi 818.075,65  EUR.</w:t>
      </w:r>
    </w:p>
    <w:p/>
    <w:p>
      <w:pPr>
        <w:jc w:val="center"/>
        <w:pStyle w:val="Normal"/>
        <w:spacing w:line="240" w:lineRule="auto"/>
        <w:keepNext/>
      </w:pPr>
      <w:r>
        <w:rPr>
          <w:sz w:val="28"/>
          <w:rFonts w:ascii="Times New Roman" w:hAnsi="Times New Roman"/>
        </w:rPr>
        <w:t xml:space="preserve">Bilješka 23.</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996</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Izvanbilančni zapisi - pasiva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996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1.114.538,55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2.672.167,74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239,8</w:t>
            </w:r>
          </w:p>
        </w:tc>
      </w:tr>
    </w:tbl>
    <w:p>
      <w:pPr>
        <w:spacing w:before="0" w:after="0"/>
      </w:pPr>
    </w:p>
    <w:p>
      <w:r>
        <w:t xml:space="preserve">Na šifri 996 Izvanbilančni zapisi – pasiva prikazan je Iznos izvanbilančnih zapisa na dan 31.12.2025. iznosi 2.672.167,74 EUR, a odnose se na iznose potencijalne obveze po osnovi sudskih sporova u tijeku, na stanje instrumenata osiguranja plaćanja te na obračunate pomoći temeljem prijenosa EU sredstava (preostala potraživanja za projekt izgradnje bio bazena).</w:t>
      </w:r>
    </w:p>
    <w:p>
      <w:r>
        <w:t xml:space="preserve">Stanje potencijalnih obveza po sudskim sporovima dano je u sljedećoj tablici:</w:t>
      </w:r>
    </w:p>
    <w:tbl>
      <w:tblPr>
        <w:tblStyle w:val="TableGrid"/>
        <w:tblW w:w="3068.15" w:type="pct"/>
      </w:tblPr>
      <w:tblGrid>
        <w:gridCol w:w="2208"/>
        <w:gridCol w:w="2277"/>
        <w:gridCol w:w="3015"/>
        <w:gridCol w:w="2124"/>
      </w:tblGrid>
      <w:tr>
        <w:trPr>
          <w:trHeight w:val="828" w:hRule="atLeast"/>
        </w:trPr>
        <w:tc>
          <w:tcPr>
            <w:tcW w:w="1147" w:type="pct"/>
            <w:vAlign w:val="center"/>
          </w:tcPr>
          <w:p>
            <w:r>
              <w:t xml:space="preserve">OPIS</w:t>
            </w:r>
          </w:p>
        </w:tc>
        <w:tc>
          <w:tcPr>
            <w:tcW w:w="1182" w:type="pct"/>
            <w:vAlign w:val="center"/>
          </w:tcPr>
          <w:p>
            <w:r>
              <w:t xml:space="preserve">U KORIST GRAD</w:t>
            </w:r>
          </w:p>
        </w:tc>
        <w:tc>
          <w:tcPr>
            <w:tcW w:w="1566" w:type="pct"/>
            <w:vAlign w:val="center"/>
          </w:tcPr>
          <w:p>
            <w:r>
              <w:t xml:space="preserve">NA TERET GRADA</w:t>
            </w:r>
          </w:p>
        </w:tc>
        <w:tc>
          <w:tcPr>
            <w:tcW w:w="1103" w:type="pct"/>
            <w:vAlign w:val="center"/>
          </w:tcPr>
          <w:p>
            <w:r>
              <w:t xml:space="preserve">PROCJENJENO VRIJEME PRILJEVA/ODLJEVA</w:t>
            </w:r>
          </w:p>
        </w:tc>
      </w:tr>
      <w:tr>
        <w:trPr/>
        <w:tc>
          <w:tcPr>
            <w:tcW w:w="1147" w:type="pct"/>
            <w:vAlign w:val="center"/>
          </w:tcPr>
          <w:p>
            <w:r>
              <w:t xml:space="preserve">Sudski postupak- tužitelj HZMO zbog naknade štete Milan Poslon, isplata mirovine P-1432/2020</w:t>
            </w:r>
          </w:p>
        </w:tc>
        <w:tc>
          <w:tcPr>
            <w:tcW w:w="1182" w:type="pct"/>
            <w:vAlign w:val="center"/>
          </w:tcPr>
          <w:p>
            <w:r>
              <w:t xml:space="preserve">0,00 EUR</w:t>
            </w:r>
          </w:p>
        </w:tc>
        <w:tc>
          <w:tcPr>
            <w:tcW w:w="1566" w:type="pct"/>
            <w:vAlign w:val="center"/>
          </w:tcPr>
          <w:p>
            <w:r>
              <w:t xml:space="preserve">14.926,98 EUR</w:t>
            </w:r>
          </w:p>
        </w:tc>
        <w:tc>
          <w:tcPr>
            <w:tcW w:w="1103" w:type="pct"/>
            <w:vAlign w:val="center"/>
          </w:tcPr>
          <w:p>
            <w:r>
              <w:t xml:space="preserve">2026</w:t>
            </w:r>
          </w:p>
        </w:tc>
      </w:tr>
      <w:tr>
        <w:trPr/>
        <w:tc>
          <w:tcPr>
            <w:tcW w:w="1147" w:type="pct"/>
            <w:vAlign w:val="center"/>
          </w:tcPr>
          <w:p>
            <w:r>
              <w:t xml:space="preserve">Hrvatski telekom d.d. P-38/18</w:t>
            </w:r>
          </w:p>
        </w:tc>
        <w:tc>
          <w:tcPr>
            <w:tcW w:w="1182" w:type="pct"/>
            <w:vAlign w:val="center"/>
          </w:tcPr>
          <w:p>
            <w:r>
              <w:t xml:space="preserve">123.579,27 EUR</w:t>
            </w:r>
          </w:p>
        </w:tc>
        <w:tc>
          <w:tcPr>
            <w:tcW w:w="1566" w:type="pct"/>
            <w:vAlign w:val="center"/>
          </w:tcPr>
          <w:p>
            <w:r>
              <w:t xml:space="preserve">0,00 EUR</w:t>
            </w:r>
          </w:p>
        </w:tc>
        <w:tc>
          <w:tcPr>
            <w:tcW w:w="1103" w:type="pct"/>
            <w:vAlign w:val="center"/>
          </w:tcPr>
          <w:p>
            <w:r>
              <w:t xml:space="preserve">2026</w:t>
            </w:r>
          </w:p>
        </w:tc>
      </w:tr>
      <w:tr>
        <w:trPr/>
        <w:tc>
          <w:tcPr>
            <w:tcW w:w="1147" w:type="pct"/>
            <w:vAlign w:val="center"/>
          </w:tcPr>
          <w:p>
            <w:r>
              <w:t xml:space="preserve">Romuald Kantoci P-127/2023 OS u Zlataru Grad Pregrada umješač</w:t>
            </w:r>
          </w:p>
        </w:tc>
        <w:tc>
          <w:tcPr>
            <w:tcW w:w="1182" w:type="pct"/>
            <w:vAlign w:val="center"/>
          </w:tcPr>
          <w:p>
            <w:r>
              <w:t xml:space="preserve">Zemljište u centru Pregrade</w:t>
            </w:r>
          </w:p>
        </w:tc>
        <w:tc>
          <w:tcPr>
            <w:tcW w:w="1566" w:type="pct"/>
            <w:vAlign w:val="center"/>
          </w:tcPr>
          <w:p>
            <w:r>
              <w:t xml:space="preserve">3.000,00 EUR</w:t>
            </w:r>
          </w:p>
        </w:tc>
        <w:tc>
          <w:tcPr>
            <w:tcW w:w="1103" w:type="pct"/>
            <w:vAlign w:val="center"/>
          </w:tcPr>
          <w:p>
            <w:r>
              <w:t xml:space="preserve">2027</w:t>
            </w:r>
          </w:p>
        </w:tc>
      </w:tr>
      <w:tr>
        <w:trPr/>
        <w:tc>
          <w:tcPr>
            <w:tcW w:w="1147" w:type="pct"/>
            <w:vAlign w:val="center"/>
          </w:tcPr>
          <w:p>
            <w:r>
              <w:t xml:space="preserve">Privredna banka d.d. P-8238/2023 (ošasna Tomo Baranja)</w:t>
            </w:r>
          </w:p>
        </w:tc>
        <w:tc>
          <w:tcPr>
            <w:tcW w:w="1182" w:type="pct"/>
            <w:vAlign w:val="center"/>
          </w:tcPr>
          <w:p>
            <w:r>
              <w:t xml:space="preserve">300,00 EUR</w:t>
            </w:r>
          </w:p>
        </w:tc>
        <w:tc>
          <w:tcPr>
            <w:tcW w:w="1566" w:type="pct"/>
            <w:vAlign w:val="center"/>
          </w:tcPr>
          <w:p>
            <w:r>
              <w:t xml:space="preserve">1.500,00 EUR</w:t>
            </w:r>
          </w:p>
        </w:tc>
        <w:tc>
          <w:tcPr>
            <w:tcW w:w="1103" w:type="pct"/>
            <w:vAlign w:val="center"/>
          </w:tcPr>
          <w:p>
            <w:r>
              <w:t xml:space="preserve">2026</w:t>
            </w:r>
          </w:p>
        </w:tc>
      </w:tr>
      <w:tr>
        <w:trPr/>
        <w:tc>
          <w:tcPr>
            <w:tcW w:w="1147" w:type="pct"/>
            <w:vAlign w:val="center"/>
          </w:tcPr>
          <w:p>
            <w:r>
              <w:t xml:space="preserve">UKUPNO</w:t>
            </w:r>
          </w:p>
        </w:tc>
        <w:tc>
          <w:tcPr>
            <w:tcW w:w="1182" w:type="pct"/>
            <w:vAlign w:val="center"/>
          </w:tcPr>
          <w:p>
            <w:r>
              <w:t xml:space="preserve">123.879,27 EUR</w:t>
            </w:r>
          </w:p>
        </w:tc>
        <w:tc>
          <w:tcPr>
            <w:tcW w:w="1566" w:type="pct"/>
            <w:vAlign w:val="center"/>
          </w:tcPr>
          <w:p>
            <w:r>
              <w:t xml:space="preserve">19.426,98 EUR</w:t>
            </w:r>
          </w:p>
        </w:tc>
        <w:tc>
          <w:tcPr>
            <w:tcW w:w="1103" w:type="pct"/>
            <w:vAlign w:val="center"/>
          </w:tcPr>
          <w:p>
            <w:r>
              <w:t xml:space="preserve">104.452,29 EUR</w:t>
            </w:r>
          </w:p>
        </w:tc>
      </w:tr>
    </w:tbl>
    <w:p>
      <w:r>
        <w:t xml:space="preserve">Proračunski korisnici nemaju potencijalnih obveza po osnovi sudskih sporova u tijeku.</w:t>
      </w:r>
    </w:p>
    <w:p>
      <w:r>
        <w:t xml:space="preserve"> </w:t>
      </w:r>
    </w:p>
    <w:p/>
    <w:p>
      <w:pPr>
        <w:jc w:val="center"/>
        <w:pStyle w:val="Normal"/>
        <w:spacing w:line="240" w:lineRule="auto"/>
        <w:keepNext/>
      </w:pPr>
      <w:r>
        <w:rPr>
          <w:b/>
          <w:sz w:val="28"/>
          <w:rFonts w:ascii="Times New Roman" w:hAnsi="Times New Roman"/>
        </w:rPr>
        <w:t xml:space="preserve">Izvještaj o rashodima prema funkcijskoj klasifikaciji</w:t>
      </w:r>
    </w:p>
    <w:p>
      <w:pPr>
        <w:jc w:val="center"/>
        <w:pStyle w:val="Normal"/>
        <w:spacing w:line="240" w:lineRule="auto"/>
        <w:keepNext/>
      </w:pPr>
      <w:r>
        <w:rPr>
          <w:sz w:val="28"/>
          <w:rFonts w:ascii="Times New Roman" w:hAnsi="Times New Roman"/>
        </w:rPr>
        <w:t xml:space="preserve">Bilješka 24.</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Kontrolni zbroj (šifre 01+02+03+04+05+06+07+08+09+10)</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R1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6.498.901,93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11.289.182,73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173,7</w:t>
            </w:r>
          </w:p>
        </w:tc>
      </w:tr>
    </w:tbl>
    <w:p>
      <w:pPr>
        <w:spacing w:before="0" w:after="0"/>
      </w:pPr>
    </w:p>
    <w:p>
      <w:r>
        <w:t xml:space="preserve">Obrazac RAS – funkcijski za razdoblje od 01. siječnja do 31. prosinca 2025. godine popunjen je ostvarenim iznosima rashoda sa obrasca PR – RAS. Ostvareni rashodi  u iznosu od 11.289.182,73 EUR su raspoređeni prema funkcijskoj klasifikaciji u obrascu. Obuhvaćaju razrede 3 i 4 bez 367. Najveće povećanje od iskazano je na šifri 08- Rekreacija, kultura i religija i 09 Obrazovanje, a prvenstveno se odnosi na provedbu projekta Izgradnje područnog objekta dječjeg vrtića Naša radost i izgradnje i opremanja biološkog bazena.</w:t>
      </w:r>
    </w:p>
    <w:p/>
    <w:p>
      <w:pPr>
        <w:jc w:val="center"/>
        <w:pStyle w:val="Normal"/>
        <w:spacing w:line="240" w:lineRule="auto"/>
        <w:keepNext/>
      </w:pPr>
      <w:r>
        <w:rPr>
          <w:b/>
          <w:sz w:val="28"/>
          <w:rFonts w:ascii="Times New Roman" w:hAnsi="Times New Roman"/>
        </w:rPr>
        <w:t xml:space="preserve">Promjene u vrijednosti i obujmu imovine i obveza</w:t>
      </w:r>
    </w:p>
    <w:p>
      <w:pPr>
        <w:jc w:val="center"/>
        <w:pStyle w:val="Normal"/>
        <w:spacing w:line="240" w:lineRule="auto"/>
        <w:keepNext/>
      </w:pPr>
      <w:r>
        <w:rPr>
          <w:sz w:val="28"/>
          <w:rFonts w:ascii="Times New Roman" w:hAnsi="Times New Roman"/>
        </w:rPr>
        <w:t xml:space="preserve">Bilješka 25.</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Iznos povećanja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Iznos smanjenja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91512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Promjene u obujmu imovine (šifre P016+P023)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91512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351,00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4.782,00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1362,4</w:t>
            </w:r>
          </w:p>
        </w:tc>
      </w:tr>
    </w:tbl>
    <w:p>
      <w:pPr>
        <w:spacing w:before="0" w:after="0"/>
      </w:pPr>
    </w:p>
    <w:p>
      <w:r>
        <w:t xml:space="preserve">U obrascu P-VRIO za razdoblje od 01.01.-31.12.2025. godine evidentirano je sve ono što posljedično ima utjecaj na bilančne stavke, a nisu rezultat transakcije. Na šifri 91512 Promjene u vrijednosti i obujmu imovine - iznos povećanja imovine od 351,00 EUR odnosi se na donaciju knjiga od fizičkih osoba tijekom 2025. godine. Iznos smanjenja od 4.782,00 EUR odnosi se na darovanje zemljišta Osnovnoj školi Janka Leskovara, Pregrada za projekt dogradnje škole u iznosu od 4.431,00 EUR i donacije knjiga fizičkih osoba tijekom 2025. godine.</w:t>
      </w:r>
    </w:p>
    <w:p/>
    <w:p>
      <w:pPr>
        <w:jc w:val="center"/>
        <w:pStyle w:val="Normal"/>
        <w:spacing w:line="240" w:lineRule="auto"/>
        <w:keepNext/>
      </w:pPr>
      <w:r>
        <w:rPr>
          <w:b/>
          <w:sz w:val="28"/>
          <w:rFonts w:ascii="Times New Roman" w:hAnsi="Times New Roman"/>
        </w:rPr>
        <w:t xml:space="preserve">Izvještaj o obvezama</w:t>
      </w:r>
    </w:p>
    <w:p>
      <w:pPr>
        <w:jc w:val="center"/>
        <w:pStyle w:val="Normal"/>
        <w:spacing w:line="240" w:lineRule="auto"/>
        <w:keepNext/>
      </w:pPr>
      <w:r>
        <w:rPr>
          <w:sz w:val="28"/>
          <w:rFonts w:ascii="Times New Roman" w:hAnsi="Times New Roman"/>
        </w:rPr>
        <w:t xml:space="preserve">Bilješka 26.</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Iznos</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Stanje obveza na kraju izvještajnog razdoblja (šifre V001+V002-V004) i (šifre V007+V009)</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V006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3.482.896,87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Na šifri V006 - Obveze na kraju izvještajnog razdoblja  iznose 3.482.896,87 EUR. </w:t>
      </w:r>
      <w:r>
        <w:br/>
      </w:r>
      <w:r>
        <w:t xml:space="preserve">Dospjele obveze iznose 75.714,07 EUR, a nedospjele obveze iznose 3.407.182,80 EUR. </w:t>
      </w:r>
    </w:p>
    <w:p>
      <w:r>
        <w:t xml:space="preserve">Razlog stanja dospjelih, a nepodmirenih obveza je zaprimanje računa krajem prosinca, od kojih su većina plaćeni u narednom razdoblju, to jest u siječnju 2026. godine. </w:t>
      </w:r>
    </w:p>
    <w:p>
      <w:r>
        <w:t xml:space="preserve">Nedospjele obveze proračuna Grada Pregrade se, osim obveza za rashode poslovanja i nabavu nefinancijske imovine, odnose na zaprimljene privremene situacije izvođača za izvedene radove s datumom 31.12.2025. godine za projekte Izgradnje područnog objekta dječjeg vrtića, biološkog bazena koji su u tijeku, kao i na iznos dugoročnog zaduženja Grada Pregrade u iznosu od 2.200.000,00 EUR.</w:t>
      </w:r>
    </w:p>
    <w:p>
      <w:r>
        <w:t xml:space="preserve"> </w:t>
      </w:r>
      <w:r>
        <w:br/>
      </w:r>
      <w:r>
        <w:t xml:space="preserve">Kod proračunskih korisnika nedospjele obveze se odnose na obveze za ne plaćene račune za rashode poslovanja koje imaju dospijeće u siječnju, kada su i podmireni.</w:t>
      </w:r>
    </w:p>
    <w:p/>
    <w:p>
      <w:pPr>
        <w:jc w:val="center"/>
        <w:pStyle w:val="Normal"/>
        <w:spacing w:line="240" w:lineRule="auto"/>
        <w:keepNext/>
      </w:pPr>
      <w:r>
        <w:rPr>
          <w:sz w:val="28"/>
          <w:rFonts w:ascii="Times New Roman" w:hAnsi="Times New Roman"/>
        </w:rPr>
        <w:t xml:space="preserve">Bilješka 27.</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Iznos</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Stanje dospjelih obveza na kraju izvještajnog razdoblja (šifre V008+D23+D24 + 'D dio 25,26' + D27)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V007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75.714,07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Dospjele obveze iznose 75.714,07 EUR. Razlog stanja dospjelih, a nepodmirenih obveza je zaprimanje računa krajem prosinca, od kojih su većina plaćeni u narednom razdoblju, to jest u siječnju 2026. godine. </w:t>
      </w:r>
    </w:p>
    <w:p/>
    <w:p>
      <w:pPr>
        <w:jc w:val="center"/>
        <w:pStyle w:val="Normal"/>
        <w:spacing w:line="240" w:lineRule="auto"/>
        <w:keepNext/>
      </w:pPr>
      <w:r>
        <w:rPr>
          <w:sz w:val="28"/>
          <w:rFonts w:ascii="Times New Roman" w:hAnsi="Times New Roman"/>
        </w:rPr>
        <w:t xml:space="preserve">Bilješka 28.</w:t>
      </w:r>
    </w:p>
    <w:p>
      <w:pPr>
        <w:jc w:val="both"/>
        <w:pStyle w:val="Normal"/>
        <w:spacing w:line="240" w:lineRule="auto"/>
      </w:pPr>
      <w:r>
        <w:rPr>
          <w:b/>
          <w:sz w:val="24"/>
          <w:rFonts w:ascii="Times New Roman" w:hAnsi="Times New Roman"/>
        </w:rPr>
        <w:t xml:space="preserve">Unutargrupne transakcije koje su u izvještajima eliminirane</w:t>
      </w:r>
    </w:p>
    <w:p>
      <w:r>
        <w:t xml:space="preserve">U obrascu bilanca  i obrascu obveze na šifri 167 i 274 eliminirane su obveze nadležnog Proračuna za uplaćene prihode proračunskih korisnika u iznosu od 241.086,52 EUR.</w:t>
      </w:r>
    </w:p>
    <w:p>
      <w:r>
        <w:t xml:space="preserve">U sklopu izrade konsolidacijskog izvještaja eliminirane su šifre 639  i 369- Prijenosi između proračunskih korisnika istog proračuna u ukupnom iznosu od 800,00 EUR. Iznos se odnosi na realizaciju aktivnosti projekta Erasmus akreditacija 2024. godina temeljem Sporazuma i Ugovora o suradnji između Muzeja i Knjižnice.</w:t>
      </w:r>
      <w:r>
        <w:br/>
      </w:r>
      <w:r>
        <w:t xml:space="preserve"> </w:t>
      </w:r>
    </w:p>
    <w:p>
      <w:r>
        <w:t xml:space="preserve">U sklopu izrade konsolidacijskog izvještaja eliminirane su šifra 671 – Prihodi iz nadležnog proračuna za financiranje redovne djelatnosti proračunskih korisnika i šifra 367 – Prijenosi proračunskim korisnicima iz nadležnog proračuna za financiranje redovne djelatnosti  - u ukupnom iznosu od 1.308.902,29 EUR. Na financiranje redovne djelatnosti Dječjeg vrtića Naša radost odnosi se 1.063.736,76 EUR, iz kojih se financira rad vrtića za redovnu djelatnost i kraći program predškole. Na financiranje redovne djelatnosti Muzeja odnosi se 14.343,24 EUR. Na financiranje redovne djelatnosti i nabavke novih knjiga za Gradsku knjižnicu se odnosi 97.392,83 EUR. Na financiranje redovne djelatnosti Pučkog otvorenog učilišta odnosi se iznos od 133.429,46 EUR.</w:t>
      </w:r>
    </w:p>
    <w:p>
      <w:r>
        <w:t xml:space="preserve"> </w:t>
      </w:r>
    </w:p>
    <w:p/>
    <w:p>
      <w:pPr>
        <w:jc w:val="center"/>
        <w:pStyle w:val="Normal"/>
        <w:spacing w:line="240" w:lineRule="auto"/>
        <w:keepNext/>
      </w:pPr>
      <w:r>
        <w:rPr>
          <w:sz w:val="28"/>
          <w:rFonts w:ascii="Times New Roman" w:hAnsi="Times New Roman"/>
        </w:rPr>
        <w:t xml:space="preserve">Bilješka 29.</w:t>
      </w:r>
    </w:p>
    <w:p>
      <w:pPr>
        <w:jc w:val="both"/>
        <w:pStyle w:val="Normal"/>
        <w:spacing w:line="240" w:lineRule="auto"/>
      </w:pPr>
      <w:r>
        <w:rPr>
          <w:b/>
          <w:sz w:val="24"/>
          <w:rFonts w:ascii="Times New Roman" w:hAnsi="Times New Roman"/>
        </w:rPr>
        <w:t xml:space="preserve">Manjak ili višak u poslovanju grupe i pregled strukture manjka/viška po proračunskim korisnicima </w:t>
      </w:r>
    </w:p>
    <w:p>
      <w:r>
        <w:t xml:space="preserve">Konsolidirani manjak za prijenos u naredno razdoblje iznosi 501.098,41 EUR i sastoji se od: </w:t>
      </w:r>
    </w:p>
    <w:p>
      <w:pPr>
        <w:pStyle w:val="ListParagraph"/>
        <w:numPr>
          <w:ilvl w:val="0"/>
          <w:numId w:val="2"/>
        </w:numPr>
      </w:pPr>
      <w:r>
        <w:t xml:space="preserve">Manjka Proračuna grada Pregrade u iznosu od 564.427,36 EUR,</w:t>
      </w:r>
    </w:p>
    <w:p>
      <w:pPr>
        <w:pStyle w:val="ListParagraph"/>
        <w:numPr>
          <w:ilvl w:val="0"/>
          <w:numId w:val="2"/>
        </w:numPr>
      </w:pPr>
      <w:r>
        <w:t xml:space="preserve">Viška Dječjeg vrtića “Naša radost” Pregrada 39.285,37 EUR,</w:t>
      </w:r>
    </w:p>
    <w:p>
      <w:pPr>
        <w:pStyle w:val="ListParagraph"/>
        <w:numPr>
          <w:ilvl w:val="0"/>
          <w:numId w:val="2"/>
        </w:numPr>
      </w:pPr>
      <w:r>
        <w:t xml:space="preserve">Manjka Gradske knjižnice grada Pregrade  3.614,02 EUR,</w:t>
      </w:r>
    </w:p>
    <w:p>
      <w:pPr>
        <w:pStyle w:val="ListParagraph"/>
        <w:numPr>
          <w:ilvl w:val="0"/>
          <w:numId w:val="2"/>
        </w:numPr>
      </w:pPr>
      <w:r>
        <w:t xml:space="preserve">Viška Pučkog otvorenog učilišta Pregrada u iznosu od 0,77 EUR,</w:t>
      </w:r>
    </w:p>
    <w:p>
      <w:pPr>
        <w:pStyle w:val="ListParagraph"/>
        <w:numPr>
          <w:ilvl w:val="0"/>
          <w:numId w:val="2"/>
        </w:numPr>
      </w:pPr>
      <w:r>
        <w:t xml:space="preserve">Viška Muzeja grada Pregrade Zlatko Dragutin Tudjina u iznosu 27.656,83 EUR.</w:t>
      </w:r>
    </w:p>
    <w:p/>
  </w:body>
</w:document>
</file>

<file path=word/numbering.xml><?xml version="1.0" encoding="utf-8"?>
<w:numbering xmlns:w="http://schemas.openxmlformats.org/wordprocessingml/2006/main">
  <w:abstractNum w:abstractNumId="1">
    <w:multiLevelType w:val="hybridMultilevel"/>
    <w:name w:val="disc"/>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
      <w:lvlJc w:val="left"/>
      <w:pPr>
        <w:ind w:left="5760" w:hanging="360"/>
      </w:pPr>
    </w:lvl>
    <w:lvl w:ilvl="8">
      <w:start w:val="1"/>
      <w:numFmt w:val="bullet"/>
      <w:lvlText w:val="•"/>
      <w:lvlJc w:val="left"/>
      <w:pPr>
        <w:ind w:left="6480" w:hanging="360"/>
      </w:pPr>
    </w:lvl>
  </w:abstractNum>
  <w:num w:numId="2">
    <w:abstractNumId w:val="1"/>
    <w:lvlOverride w:ilvl="0">
      <w:startOverride w:val="1"/>
    </w:lvlOverride>
  </w:num>
</w:numbering>
</file>

<file path=word/styles.xml><?xml version="1.0" encoding="utf-8"?>
<w:styles xmlns:w="http://schemas.openxmlformats.org/wordprocessingml/2006/main">
  <w:docDefaults>
    <w:rPrDefault>
      <w:rPr>
        <w:rFonts w:ascii="Times New Roman" w:hAnsi="Times New Roman"/>
        <w:sz w:val="24"/>
      </w:rPr>
    </w:rPrDefault>
  </w:docDefaults>
  <w:style w:type="paragraph" w:styleId="Normal" w:default="true">
    <w:name w:val="Normal"/>
    <w:rPr>
      <w:rFonts w:ascii="Times New Roman" w:hAnsi="Times New Roman"/>
      <w:sz w:val="24"/>
    </w:rPr>
  </w:style>
  <w:style xmlns:w="http://schemas.openxmlformats.org/wordprocessingml/2006/main" w:type="table" w:styleId="TableGrid">
    <w:name w:val="Table Grid"/>
    <w:basedOn w:val="TableNormal"/>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xmlns:w="http://schemas.openxmlformats.org/wordprocessingml/2006/main" w:type="paragraph" w:styleId="ListParagraph">
    <w:name w:val="List Paragraph"/>
    <w:next w:val="List Paragraph"/>
    <w:pPr>
      <w:keepNext w:val="0"/>
      <w:keepLines w:val="0"/>
      <w:spacing w:before="0" w:after="0" w:line="240" w:lineRule="auto"/>
      <w:ind w:start="720" w:end="0" w:firstLine="0"/>
      <w:contextualSpacing/>
    </w:pPr>
  </w:style>
</w:styles>
</file>

<file path=word/_rels/document.xml.rels>&#65279;<?xml version="1.0" encoding="utf-8"?><Relationships xmlns="http://schemas.openxmlformats.org/package/2006/relationships"><Relationship Type="http://schemas.openxmlformats.org/officeDocument/2006/relationships/styles" Target="/word/styles.xml" Id="R61e8d652ea464baf" /><Relationship Type="http://schemas.openxmlformats.org/officeDocument/2006/relationships/numbering" Target="/word/numbering.xml" Id="Rcad59cc916984da6" /></Relationships>
</file>